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561975" cy="573405"/>
            <wp:effectExtent l="0" t="0" r="0" b="0"/>
            <wp:wrapSquare wrapText="bothSides"/>
            <wp:docPr id="1" name="图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ngXian" w:cs="Times New Roman" w:ascii="Times New Roman" w:hAnsi="Times New Roman"/>
          <w:b/>
          <w:bCs/>
          <w:lang w:val="ru-RU"/>
        </w:rPr>
        <w:t>ВАЖНОЕ ПРИМЕЧАНИЕ ПО ГАРАНТИЙНОМУ ОБСЛУЖИВАНИЮ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Благодарим вас за покупку! Перед эксплуатацией данного продукта найдите ваш код верификации на упаковке и перейдите на </w:t>
      </w:r>
      <w:r>
        <w:rPr>
          <w:rFonts w:eastAsia="DengXian" w:cs="Times New Roman" w:ascii="Times New Roman" w:hAnsi="Times New Roman"/>
          <w:bCs/>
        </w:rPr>
        <w:t>http</w:t>
      </w:r>
      <w:r>
        <w:rPr>
          <w:rFonts w:eastAsia="DengXian" w:cs="Times New Roman" w:ascii="Times New Roman" w:hAnsi="Times New Roman"/>
          <w:bCs/>
          <w:lang w:val="ru-RU"/>
        </w:rPr>
        <w:t>://</w:t>
      </w:r>
      <w:r>
        <w:rPr>
          <w:rFonts w:eastAsia="DengXian" w:cs="Times New Roman" w:ascii="Times New Roman" w:hAnsi="Times New Roman"/>
          <w:bCs/>
        </w:rPr>
        <w:t>charger</w:t>
      </w:r>
      <w:r>
        <w:rPr>
          <w:rFonts w:eastAsia="DengXian" w:cs="Times New Roman" w:ascii="Times New Roman" w:hAnsi="Times New Roman"/>
          <w:bCs/>
          <w:lang w:val="ru-RU"/>
        </w:rPr>
        <w:t>.</w:t>
      </w:r>
      <w:r>
        <w:rPr>
          <w:rFonts w:eastAsia="DengXian" w:cs="Times New Roman" w:ascii="Times New Roman" w:hAnsi="Times New Roman"/>
          <w:bCs/>
        </w:rPr>
        <w:t>nitecore</w:t>
      </w:r>
      <w:r>
        <w:rPr>
          <w:rFonts w:eastAsia="DengXian" w:cs="Times New Roman" w:ascii="Times New Roman" w:hAnsi="Times New Roman"/>
          <w:bCs/>
          <w:lang w:val="ru-RU"/>
        </w:rPr>
        <w:t>.</w:t>
      </w:r>
      <w:r>
        <w:rPr>
          <w:rFonts w:eastAsia="DengXian" w:cs="Times New Roman" w:ascii="Times New Roman" w:hAnsi="Times New Roman"/>
          <w:bCs/>
        </w:rPr>
        <w:t>com</w:t>
      </w:r>
      <w:r>
        <w:rPr>
          <w:rFonts w:eastAsia="DengXian" w:cs="Times New Roman" w:ascii="Times New Roman" w:hAnsi="Times New Roman"/>
          <w:bCs/>
          <w:lang w:val="ru-RU"/>
        </w:rPr>
        <w:t>/</w:t>
      </w:r>
      <w:r>
        <w:rPr>
          <w:rFonts w:eastAsia="DengXian" w:cs="Times New Roman" w:ascii="Times New Roman" w:hAnsi="Times New Roman"/>
          <w:bCs/>
        </w:rPr>
        <w:t>validation</w:t>
      </w:r>
      <w:r>
        <w:rPr>
          <w:rFonts w:eastAsia="DengXian" w:cs="Times New Roman" w:ascii="Times New Roman" w:hAnsi="Times New Roman"/>
          <w:bCs/>
          <w:lang w:val="ru-RU"/>
        </w:rPr>
        <w:t xml:space="preserve"> (или отсканируйте </w:t>
      </w:r>
      <w:r>
        <w:rPr>
          <w:rFonts w:eastAsia="DengXian" w:cs="Times New Roman" w:ascii="Times New Roman" w:hAnsi="Times New Roman"/>
          <w:bCs/>
        </w:rPr>
        <w:t>QR</w:t>
      </w:r>
      <w:r>
        <w:rPr>
          <w:rFonts w:eastAsia="DengXian" w:cs="Times New Roman" w:ascii="Times New Roman" w:hAnsi="Times New Roman"/>
          <w:bCs/>
          <w:lang w:val="ru-RU"/>
        </w:rPr>
        <w:t xml:space="preserve">-код рядом с проверочным кодом, чтобы перейти на него со своего мобильного телефона). Введите ваш код верификации и личную информацию по необходимости и отправьте ваши данные. После проверки </w:t>
      </w:r>
      <w:r>
        <w:rPr>
          <w:rFonts w:eastAsia="DengXian" w:cs="Times New Roman" w:ascii="Times New Roman" w:hAnsi="Times New Roman"/>
          <w:bCs/>
        </w:rPr>
        <w:t>NITECORE</w:t>
      </w:r>
      <w:r>
        <w:rPr>
          <w:rFonts w:eastAsia="DengXian" w:cs="Times New Roman" w:ascii="Times New Roman" w:hAnsi="Times New Roman"/>
          <w:bCs/>
          <w:lang w:val="ru-RU"/>
        </w:rPr>
        <w:t xml:space="preserve"> вышлет вам электронное письмо с гарантийным обслуживанием для бесплатного продления гарантии на 6 месяцев. Это электронное письмо и адрес электронной почты, указанный при регистрации, необходимы для потенциального применения гарантии.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 xml:space="preserve">Руководство пользователя </w:t>
      </w:r>
      <w:r>
        <w:rPr>
          <w:rFonts w:eastAsia="DengXian" w:cs="Times New Roman" w:ascii="Times New Roman" w:hAnsi="Times New Roman"/>
          <w:b/>
          <w:bCs/>
        </w:rPr>
        <w:t>CARBO</w:t>
      </w:r>
      <w:r>
        <w:rPr>
          <w:rFonts w:eastAsia="DengXian" w:cs="Times New Roman" w:ascii="Times New Roman" w:hAnsi="Times New Roman"/>
          <w:b/>
          <w:bCs/>
          <w:lang w:val="ru-RU"/>
        </w:rPr>
        <w:t xml:space="preserve"> 20000 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Технические характеристики</w:t>
      </w:r>
    </w:p>
    <w:tbl>
      <w:tblPr>
        <w:tblStyle w:val="a7"/>
        <w:tblW w:w="7000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6"/>
        <w:gridCol w:w="5233"/>
      </w:tblGrid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Аккумулятор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Li-ion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(литий-ионный)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Энергоемкость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20,000 м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Ач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3.85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В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(77 Вт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en-US" w:eastAsia="zh-CN" w:bidi="ar-SA"/>
              </w:rPr>
              <w:t>⋅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ч)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Номинальная энергия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13,500 м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Ач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5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В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(TYP 2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А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)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Вход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-149" w:firstLine="149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USB-C: 5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en-US" w:eastAsia="zh-CN" w:bidi="ar-SA"/>
              </w:rPr>
              <w:t>⎓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2.4 А / 9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en-US" w:eastAsia="zh-CN" w:bidi="ar-SA"/>
              </w:rPr>
              <w:t>⎓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А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Выход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USB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C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: 5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3 А / 9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2.22 А / 12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1.68 А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USB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A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: 5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3 А / 9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2 А / 12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1.5 А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Двойные порты: 5 В </w:t>
            </w:r>
            <w:r>
              <w:rPr>
                <w:rFonts w:eastAsia="DengXian" w:cs="Cambria Math" w:ascii="Cambria Math" w:hAnsi="Cambria Math"/>
                <w:kern w:val="2"/>
                <w:sz w:val="21"/>
                <w:szCs w:val="22"/>
                <w:lang w:val="ru-RU" w:eastAsia="zh-CN" w:bidi="ar-SA"/>
              </w:rPr>
              <w:t xml:space="preserve">⎓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3 А (МАКСИМУМ)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IP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рейтинг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IPX5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Размеры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124 мм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x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60 мм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x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21.8 мм (4.88"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x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2.36"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x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0.86")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Вес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295.5 г ± 5 г (10.42 унции ±0.1 унции) (без учета комплектующих)</w:t>
            </w:r>
          </w:p>
        </w:tc>
      </w:tr>
      <w:tr>
        <w:trPr/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Комплектующие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Зарядный кабель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USB-C</w:t>
            </w:r>
          </w:p>
        </w:tc>
      </w:tr>
    </w:tbl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3003550" cy="1927860"/>
            <wp:effectExtent l="0" t="0" r="0" b="0"/>
            <wp:wrapSquare wrapText="bothSides"/>
            <wp:docPr id="2" name="Рисунок 3" descr="https://sun9-west.userapi.com/sun9-12/s/v1/ig2/wCv1782TFfQp06C_KbpVmCbiLKAQdzKHnIfR3WUOxoR5dOZAEQbvvceTEBZvavYp0bA8J8e5z7P7KKXauCuXSzaW.jpg?size=1280x822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sun9-west.userapi.com/sun9-12/s/v1/ig2/wCv1782TFfQp06C_KbpVmCbiLKAQdzKHnIfR3WUOxoR5dOZAEQbvvceTEBZvavYp0bA8J8e5z7P7KKXauCuXSzaW.jpg?size=1280x822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  <w:lang w:val="ru-RU" w:eastAsia="ru-RU"/>
        </w:rPr>
      </w:pPr>
      <w:r>
        <w:rPr>
          <w:rFonts w:eastAsia="DengXian" w:cs="Times New Roman" w:ascii="Times New Roman" w:hAnsi="Times New Roman"/>
          <w:lang w:val="ru-RU" w:eastAsia="ru-RU"/>
        </w:rPr>
      </w:r>
    </w:p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Индикаторы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</w:rPr>
        <w:t>CARBO</w:t>
      </w:r>
      <w:r>
        <w:rPr>
          <w:rFonts w:eastAsia="DengXian" w:cs="Times New Roman" w:ascii="Times New Roman" w:hAnsi="Times New Roman"/>
          <w:lang w:val="ru-RU"/>
        </w:rPr>
        <w:t xml:space="preserve"> 20000 имеет 5 индикаторов. 4 синих индикатора отображают статус зарядки и уровень заряда, а белый индикатор указывает на переход в режим пониженного энергопотребления.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Отображение уровня заряда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Кратковременно нажмите на кнопку режима, и загорятся синие индикаторы, отображающие уровень заряда.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tbl>
      <w:tblPr>
        <w:tblStyle w:val="a7"/>
        <w:tblW w:w="70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3"/>
        <w:gridCol w:w="4829"/>
      </w:tblGrid>
      <w:tr>
        <w:trPr>
          <w:trHeight w:val="579" w:hRule="atLeast"/>
        </w:trPr>
        <w:tc>
          <w:tcPr>
            <w:tcW w:w="2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b/>
                <w:b/>
                <w:bCs/>
                <w:lang w:val="ru-RU"/>
              </w:rPr>
            </w:pPr>
            <w:r>
              <w:rPr>
                <w:rFonts w:eastAsia="DengXian" w:cs="Times New Roman" w:ascii="Times New Roman" w:hAnsi="Times New Roman"/>
                <w:b/>
                <w:bCs/>
                <w:kern w:val="2"/>
                <w:sz w:val="21"/>
                <w:szCs w:val="22"/>
                <w:lang w:val="ru-RU" w:eastAsia="zh-CN" w:bidi="ar-SA"/>
              </w:rPr>
              <w:t>Состояние индикаторов</w:t>
            </w:r>
          </w:p>
        </w:tc>
        <w:tc>
          <w:tcPr>
            <w:tcW w:w="48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b/>
                <w:b/>
                <w:bCs/>
                <w:lang w:val="ru-RU"/>
              </w:rPr>
            </w:pPr>
            <w:r>
              <w:rPr>
                <w:rFonts w:eastAsia="DengXian" w:cs="Times New Roman" w:ascii="Times New Roman" w:hAnsi="Times New Roman"/>
                <w:b/>
                <w:bCs/>
                <w:kern w:val="2"/>
                <w:sz w:val="21"/>
                <w:szCs w:val="22"/>
                <w:lang w:val="ru-RU" w:eastAsia="zh-CN" w:bidi="ar-SA"/>
              </w:rPr>
              <w:t>Уровень заряда</w:t>
            </w:r>
          </w:p>
        </w:tc>
      </w:tr>
      <w:tr>
        <w:trPr>
          <w:trHeight w:val="579" w:hRule="atLeast"/>
        </w:trPr>
        <w:tc>
          <w:tcPr>
            <w:tcW w:w="2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4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беспрерывно горят</w:t>
            </w:r>
          </w:p>
        </w:tc>
        <w:tc>
          <w:tcPr>
            <w:tcW w:w="48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Приблизительно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100%</w:t>
            </w:r>
          </w:p>
        </w:tc>
      </w:tr>
      <w:tr>
        <w:trPr>
          <w:trHeight w:val="579" w:hRule="atLeast"/>
        </w:trPr>
        <w:tc>
          <w:tcPr>
            <w:tcW w:w="2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3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беспрерывно горят</w:t>
            </w:r>
          </w:p>
        </w:tc>
        <w:tc>
          <w:tcPr>
            <w:tcW w:w="48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Приблизительно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75%</w:t>
            </w:r>
          </w:p>
        </w:tc>
      </w:tr>
      <w:tr>
        <w:trPr>
          <w:trHeight w:val="556" w:hRule="atLeast"/>
        </w:trPr>
        <w:tc>
          <w:tcPr>
            <w:tcW w:w="2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2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беспрерывно горят</w:t>
            </w:r>
          </w:p>
        </w:tc>
        <w:tc>
          <w:tcPr>
            <w:tcW w:w="48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Приблизительно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50%</w:t>
            </w:r>
          </w:p>
        </w:tc>
      </w:tr>
      <w:tr>
        <w:trPr>
          <w:trHeight w:val="579" w:hRule="atLeast"/>
        </w:trPr>
        <w:tc>
          <w:tcPr>
            <w:tcW w:w="2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1 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беспрерывно горит</w:t>
            </w:r>
          </w:p>
        </w:tc>
        <w:tc>
          <w:tcPr>
            <w:tcW w:w="48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Приблизительно</w:t>
            </w: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25%</w:t>
            </w:r>
          </w:p>
        </w:tc>
      </w:tr>
      <w:tr>
        <w:trPr>
          <w:trHeight w:val="1158" w:hRule="atLeast"/>
        </w:trPr>
        <w:tc>
          <w:tcPr>
            <w:tcW w:w="2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1 мигает</w:t>
            </w:r>
          </w:p>
        </w:tc>
        <w:tc>
          <w:tcPr>
            <w:tcW w:w="48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Почти полностью разряжен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DengXian" w:cs="Times New Roman"/>
                <w:lang w:val="ru-RU"/>
              </w:rPr>
            </w:pPr>
            <w:r>
              <w:rPr>
                <w:rFonts w:eastAsia="DengXian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(Пожалуйста, поставьте устройство на зарядку как можно скорее)</w:t>
            </w:r>
          </w:p>
        </w:tc>
      </w:tr>
    </w:tbl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 xml:space="preserve">Примечание: </w:t>
      </w:r>
      <w:r>
        <w:rPr>
          <w:rFonts w:eastAsia="DengXian" w:cs="Times New Roman" w:ascii="Times New Roman" w:hAnsi="Times New Roman"/>
        </w:rPr>
        <w:t>CARBO</w:t>
      </w:r>
      <w:r>
        <w:rPr>
          <w:rFonts w:eastAsia="DengXian" w:cs="Times New Roman" w:ascii="Times New Roman" w:hAnsi="Times New Roman"/>
          <w:lang w:val="ru-RU"/>
        </w:rPr>
        <w:t xml:space="preserve"> 20000 автоматически перейдет в режим гибернации, если какое-то время будет отсутствовать процесс зарядки или разрядки.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Зарядка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Во время зарядки синие индикаторы начнут мигать, сообщая таким образом уровень заряда. Все 4 синих индикатора начнут беспрерывно гореть, когда устройство полностью зарядится.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Заряд внешнего устройства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Во время разрядки начнут гореть синие индикаторы, сообщая таким образом уровень оставшегося заряда.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Режим пониженного энергопотребления: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Данный режим подходит для зарядки слаботочных устройств, включая беспроводные наушники, переносные устройства и многое другое. Зажмите и удерживайте кнопку режима, чтобы включить белый индикатор и перейти в режим пониженного энергопотребления. Зажмите и удерживайте кнопку режима снова, чтобы выключить белый индикатор и выйти из этого режима. (Рекомендуется выйти из режима пониженного энергопотребления сразу по завершении зарядки, так как данный режим не отключается автоматически.)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Примечание:</w:t>
      </w:r>
      <w:r>
        <w:rPr>
          <w:rFonts w:eastAsia="DengXian" w:cs="Times New Roman" w:ascii="Times New Roman" w:hAnsi="Times New Roman"/>
          <w:lang w:val="ru-RU"/>
        </w:rPr>
        <w:t xml:space="preserve"> Если </w:t>
      </w:r>
      <w:r>
        <w:rPr>
          <w:rFonts w:eastAsia="DengXian" w:cs="Times New Roman" w:ascii="Times New Roman" w:hAnsi="Times New Roman"/>
        </w:rPr>
        <w:t>CARBO</w:t>
      </w:r>
      <w:r>
        <w:rPr>
          <w:rFonts w:eastAsia="DengXian" w:cs="Times New Roman" w:ascii="Times New Roman" w:hAnsi="Times New Roman"/>
          <w:lang w:val="ru-RU"/>
        </w:rPr>
        <w:t xml:space="preserve"> 20000 нагреется слишком сильно, то </w:t>
      </w:r>
      <w:r>
        <w:rPr>
          <w:rFonts w:eastAsia="DengXian" w:cs="Times New Roman" w:ascii="Times New Roman" w:hAnsi="Times New Roman"/>
        </w:rPr>
        <w:t>CARBO</w:t>
      </w:r>
      <w:r>
        <w:rPr>
          <w:rFonts w:eastAsia="DengXian" w:cs="Times New Roman" w:ascii="Times New Roman" w:hAnsi="Times New Roman"/>
          <w:lang w:val="ru-RU"/>
        </w:rPr>
        <w:t xml:space="preserve"> 20000 может автоматически прекратить работу в соответствии с теплозащитой устройства. После остывания работа возобновится автоматически.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Использование устройства во время зарядки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Вход и выход устройства </w:t>
      </w:r>
      <w:r>
        <w:rPr>
          <w:rFonts w:eastAsia="DengXian" w:cs="Times New Roman" w:ascii="Times New Roman" w:hAnsi="Times New Roman"/>
        </w:rPr>
        <w:t>CARBO</w:t>
      </w:r>
      <w:r>
        <w:rPr>
          <w:rFonts w:eastAsia="DengXian" w:cs="Times New Roman" w:ascii="Times New Roman" w:hAnsi="Times New Roman"/>
          <w:lang w:val="ru-RU"/>
        </w:rPr>
        <w:t xml:space="preserve"> 20000 можно использовать одновременно. То есть когда он заряжается через </w:t>
      </w:r>
      <w:r>
        <w:rPr>
          <w:rFonts w:eastAsia="DengXian" w:cs="Times New Roman" w:ascii="Times New Roman" w:hAnsi="Times New Roman"/>
        </w:rPr>
        <w:t>USB</w:t>
      </w:r>
      <w:r>
        <w:rPr>
          <w:rFonts w:eastAsia="DengXian" w:cs="Times New Roman" w:ascii="Times New Roman" w:hAnsi="Times New Roman"/>
          <w:lang w:val="ru-RU"/>
        </w:rPr>
        <w:t>-</w:t>
      </w:r>
      <w:r>
        <w:rPr>
          <w:rFonts w:eastAsia="DengXian" w:cs="Times New Roman" w:ascii="Times New Roman" w:hAnsi="Times New Roman"/>
        </w:rPr>
        <w:t>C</w:t>
      </w:r>
      <w:r>
        <w:rPr>
          <w:rFonts w:eastAsia="DengXian" w:cs="Times New Roman" w:ascii="Times New Roman" w:hAnsi="Times New Roman"/>
          <w:lang w:val="ru-RU"/>
        </w:rPr>
        <w:t xml:space="preserve"> порт, он также может одновременно заряжать внешние устройства через порты </w:t>
      </w:r>
      <w:r>
        <w:rPr>
          <w:rFonts w:eastAsia="DengXian" w:cs="Times New Roman" w:ascii="Times New Roman" w:hAnsi="Times New Roman"/>
        </w:rPr>
        <w:t>USB</w:t>
      </w:r>
      <w:r>
        <w:rPr>
          <w:rFonts w:eastAsia="DengXian" w:cs="Times New Roman" w:ascii="Times New Roman" w:hAnsi="Times New Roman"/>
          <w:lang w:val="ru-RU"/>
        </w:rPr>
        <w:t>-</w:t>
      </w:r>
      <w:r>
        <w:rPr>
          <w:rFonts w:eastAsia="DengXian" w:cs="Times New Roman" w:ascii="Times New Roman" w:hAnsi="Times New Roman"/>
        </w:rPr>
        <w:t>A</w:t>
      </w:r>
      <w:r>
        <w:rPr>
          <w:rFonts w:eastAsia="DengXian" w:cs="Times New Roman" w:ascii="Times New Roman" w:hAnsi="Times New Roman"/>
          <w:lang w:val="ru-RU"/>
        </w:rPr>
        <w:t>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Меры предосторожности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Пожалуйста, внимательно прочтите руководство пользователя перед эксплуатацией продукта и подключайте подходящие внешние устройства только в соответствии с особенностями, указанными в данном руководстве.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Пожалуйста, не забывайте заряжать устройство каждые 3 месяца, если не планируете им пользоваться длительное время.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Температура окружающей среды при использовании: -10~40℃ (14~104℉); Температура хранения: -20~60℃ (-4~140℉)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Не оставляйте устройство в работающем состоянии без присмотра. Прекратите использовать устройство при обнаружении каких-либо неисправностей.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 xml:space="preserve">НЕ ИСПОЛЬЗУЙТЕ зарядные кабели, изготовленные или проданные неофициальными производителями, а также те, что повреждены. 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  <w:lang w:val="ru-RU"/>
        </w:rPr>
        <w:t>Храните устройство в проветриваемых помещениях. НЕ подвергайте устройство воздействию дождя или влажной среды. Держите</w:t>
      </w:r>
      <w:r>
        <w:rPr>
          <w:rFonts w:eastAsia="DengXian" w:cs="Times New Roman" w:ascii="Times New Roman" w:hAnsi="Times New Roman"/>
        </w:rPr>
        <w:t xml:space="preserve"> </w:t>
      </w:r>
      <w:r>
        <w:rPr>
          <w:rFonts w:eastAsia="DengXian" w:cs="Times New Roman" w:ascii="Times New Roman" w:hAnsi="Times New Roman"/>
          <w:lang w:val="ru-RU"/>
        </w:rPr>
        <w:t>его</w:t>
      </w:r>
      <w:r>
        <w:rPr>
          <w:rFonts w:eastAsia="DengXian" w:cs="Times New Roman" w:ascii="Times New Roman" w:hAnsi="Times New Roman"/>
        </w:rPr>
        <w:t xml:space="preserve"> </w:t>
      </w:r>
      <w:r>
        <w:rPr>
          <w:rFonts w:eastAsia="DengXian" w:cs="Times New Roman" w:ascii="Times New Roman" w:hAnsi="Times New Roman"/>
          <w:lang w:val="ru-RU"/>
        </w:rPr>
        <w:t>подальше</w:t>
      </w:r>
      <w:r>
        <w:rPr>
          <w:rFonts w:eastAsia="DengXian" w:cs="Times New Roman" w:ascii="Times New Roman" w:hAnsi="Times New Roman"/>
        </w:rPr>
        <w:t xml:space="preserve"> </w:t>
      </w:r>
      <w:r>
        <w:rPr>
          <w:rFonts w:eastAsia="DengXian" w:cs="Times New Roman" w:ascii="Times New Roman" w:hAnsi="Times New Roman"/>
          <w:lang w:val="ru-RU"/>
        </w:rPr>
        <w:t>от</w:t>
      </w:r>
      <w:r>
        <w:rPr>
          <w:rFonts w:eastAsia="DengXian" w:cs="Times New Roman" w:ascii="Times New Roman" w:hAnsi="Times New Roman"/>
        </w:rPr>
        <w:t xml:space="preserve"> </w:t>
      </w:r>
      <w:r>
        <w:rPr>
          <w:rFonts w:eastAsia="DengXian" w:cs="Times New Roman" w:ascii="Times New Roman" w:hAnsi="Times New Roman"/>
          <w:lang w:val="ru-RU"/>
        </w:rPr>
        <w:t>любых</w:t>
      </w:r>
      <w:r>
        <w:rPr>
          <w:rFonts w:eastAsia="DengXian" w:cs="Times New Roman" w:ascii="Times New Roman" w:hAnsi="Times New Roman"/>
        </w:rPr>
        <w:t xml:space="preserve"> </w:t>
      </w:r>
      <w:r>
        <w:rPr>
          <w:rFonts w:eastAsia="DengXian" w:cs="Times New Roman" w:ascii="Times New Roman" w:hAnsi="Times New Roman"/>
          <w:lang w:val="ru-RU"/>
        </w:rPr>
        <w:t>горючих</w:t>
      </w:r>
      <w:r>
        <w:rPr>
          <w:rFonts w:eastAsia="DengXian" w:cs="Times New Roman" w:ascii="Times New Roman" w:hAnsi="Times New Roman"/>
        </w:rPr>
        <w:t xml:space="preserve"> </w:t>
      </w:r>
      <w:r>
        <w:rPr>
          <w:rFonts w:eastAsia="DengXian" w:cs="Times New Roman" w:ascii="Times New Roman" w:hAnsi="Times New Roman"/>
          <w:lang w:val="ru-RU"/>
        </w:rPr>
        <w:t>материалов</w:t>
      </w:r>
      <w:r>
        <w:rPr>
          <w:rFonts w:eastAsia="DengXian" w:cs="Times New Roman" w:ascii="Times New Roman" w:hAnsi="Times New Roman"/>
        </w:rPr>
        <w:t>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НЕ подвергайте устройство воздействию открытого огня или чрезвычайно высоких температур.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Избегайте падения и ударов устройства.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НЕ вставляйте в устройство какие-либо проводящие ток материалы, а также металлические предметы во избежание короткого замыкания и взрыва.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НЕ разбирайте устройство и не вносите изменений в его конструкцию самостоятельно, так как это несет риск взрыва аккумулятора, растрескивания и протечки, что может привести к травмам, повреждению имущества и / или другим непредсказуемым последствиям.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Утилизируйте устройство / аккумуляторы в соответствии с действующим местным законодательством и правилами.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Дисклеймер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Страхование продукта по всему миру осуществляется компанией </w:t>
      </w:r>
      <w:r>
        <w:rPr>
          <w:rFonts w:eastAsia="DengXian" w:cs="Times New Roman" w:ascii="Times New Roman" w:hAnsi="Times New Roman"/>
          <w:bCs/>
        </w:rPr>
        <w:t>Ping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An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Insurance</w:t>
      </w:r>
      <w:r>
        <w:rPr>
          <w:rFonts w:eastAsia="DengXian" w:cs="Times New Roman" w:ascii="Times New Roman" w:hAnsi="Times New Roman"/>
          <w:bCs/>
          <w:lang w:val="ru-RU"/>
        </w:rPr>
        <w:t xml:space="preserve"> (</w:t>
      </w:r>
      <w:r>
        <w:rPr>
          <w:rFonts w:eastAsia="DengXian" w:cs="Times New Roman" w:ascii="Times New Roman" w:hAnsi="Times New Roman"/>
          <w:bCs/>
        </w:rPr>
        <w:t>Group</w:t>
      </w:r>
      <w:r>
        <w:rPr>
          <w:rFonts w:eastAsia="DengXian" w:cs="Times New Roman" w:ascii="Times New Roman" w:hAnsi="Times New Roman"/>
          <w:bCs/>
          <w:lang w:val="ru-RU"/>
        </w:rPr>
        <w:t xml:space="preserve">) </w:t>
      </w:r>
      <w:r>
        <w:rPr>
          <w:rFonts w:eastAsia="DengXian" w:cs="Times New Roman" w:ascii="Times New Roman" w:hAnsi="Times New Roman"/>
          <w:bCs/>
        </w:rPr>
        <w:t>Company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of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China</w:t>
      </w:r>
      <w:r>
        <w:rPr>
          <w:rFonts w:eastAsia="DengXian" w:cs="Times New Roman" w:ascii="Times New Roman" w:hAnsi="Times New Roman"/>
          <w:bCs/>
          <w:lang w:val="ru-RU"/>
        </w:rPr>
        <w:t xml:space="preserve">, </w:t>
      </w:r>
      <w:r>
        <w:rPr>
          <w:rFonts w:eastAsia="DengXian" w:cs="Times New Roman" w:ascii="Times New Roman" w:hAnsi="Times New Roman"/>
          <w:bCs/>
        </w:rPr>
        <w:t>Ltd</w:t>
      </w:r>
      <w:r>
        <w:rPr>
          <w:rFonts w:eastAsia="DengXian" w:cs="Times New Roman" w:ascii="Times New Roman" w:hAnsi="Times New Roman"/>
          <w:bCs/>
          <w:lang w:val="ru-RU"/>
        </w:rPr>
        <w:t>. NITECORE не несет ответственности за любые убытки, ущерб или претензии любого рода, являющиеся результатом невыполнения инструкций, приведенных в данном руководстве пользователя.</w:t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Детали гарантийного обслуживания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Наши официальные дилеры и дистрибьюторы несут ответственность за гарантийное обслуживание. В случае возникновения какой-либо проблемы, на которую распространяется гарантия, клиенты могут обратиться к своим дилерам или дистрибьюторам с претензиями по гарантии лишь, если продукт был приобретен у официального дилера или дистрибьютора. Гарантия NITECORE предоставляется только для продукции, приобретенной у официальных лиц. Это относится ко всей продукции NITECORE.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Вся продукция NITECORE® обладает гарантией. При наличии у продукта каких-либо дефектов или брака его можно обменять у местного дистрибьютора в течение 15 дней со дня покупки. После этого неисправную продукцию NITECORE® можно бесплатно починить в течение 12 месяцев (1 года) со дня покупки. По прошествии 12 месяцев (1 года)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 Для того чтобы получить дополнительные 6 месяцев гарантии, пожалуйста, обратитесь к разделу «ВАЖНОЕ ПРИМЕЧАНИЕ ПО ГАРАНТИЙНОМУ ОБСЛУЖИВАНИЮ» вверху руководства, в котором указано как подтвердить приобретенный вами продукт.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Гарантия аннулируется, в случае если: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1. устройство было сломано или в его конструкцию были внесены изменения неуполномоченными на то лицами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2. продукция была повреждена вследствие неправильного использования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За последней информацией о продукции и услугах NITECORE®, пожалуйста, обращайтесь к местному дистрибьютору NITECORE® или пишите на почту service@nitecore.com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※ </w:t>
      </w:r>
      <w:r>
        <w:rPr>
          <w:rFonts w:eastAsia="DengXian" w:cs="Times New Roman" w:ascii="Times New Roman" w:hAnsi="Times New Roman"/>
          <w:bCs/>
          <w:lang w:val="ru-RU"/>
        </w:rPr>
        <w:t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www.nitecore.com, информацию на сайте стоит считать более актуальной. Компания Sysmax Innovations Co., Ltd. оставляет за собой право интерпретировать и изменять содержание данного документа в любое время без предварительного уведомления.</w:t>
      </w:r>
      <w:bookmarkStart w:id="0" w:name="_GoBack"/>
      <w:bookmarkEnd w:id="0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f4fb1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f4fb1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ff4fb1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ff4fb1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d454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6430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24F9-7BE6-4987-BE7D-53D4ABCF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Application>LibreOffice/7.3.2.2$Windows_X86_64 LibreOffice_project/49f2b1bff42cfccbd8f788c8dc32c1c309559be0</Application>
  <AppVersion>15.0000</AppVersion>
  <Pages>4</Pages>
  <Words>941</Words>
  <Characters>6138</Characters>
  <CharactersWithSpaces>6998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2019-12-27T06:49:00Z</dcterms:created>
  <dc:creator>Ben Guan</dc:creator>
  <dc:description/>
  <dc:language>ru-RU</dc:language>
  <cp:lastModifiedBy>НР</cp:lastModifiedBy>
  <dcterms:modified xsi:type="dcterms:W3CDTF">2022-09-29T06:28:00Z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